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036" w:rsidRDefault="00605AF6">
      <w:pPr>
        <w:spacing w:after="23" w:line="259" w:lineRule="auto"/>
        <w:ind w:left="84" w:right="0" w:firstLine="0"/>
        <w:jc w:val="center"/>
      </w:pPr>
      <w:r>
        <w:rPr>
          <w:b/>
          <w:color w:val="0070C0"/>
          <w:sz w:val="32"/>
        </w:rPr>
        <w:t xml:space="preserve"> </w:t>
      </w:r>
    </w:p>
    <w:p w:rsidR="00E70036" w:rsidRDefault="00605AF6">
      <w:pPr>
        <w:spacing w:after="0" w:line="274" w:lineRule="auto"/>
        <w:ind w:left="1621" w:right="1433" w:firstLine="0"/>
        <w:jc w:val="center"/>
      </w:pPr>
      <w:r>
        <w:rPr>
          <w:b/>
          <w:color w:val="0070C0"/>
          <w:sz w:val="32"/>
        </w:rPr>
        <w:t xml:space="preserve">Linee guida per l’organizzazione degli </w:t>
      </w:r>
      <w:proofErr w:type="gramStart"/>
      <w:r>
        <w:rPr>
          <w:b/>
          <w:color w:val="0070C0"/>
          <w:sz w:val="32"/>
        </w:rPr>
        <w:t>eventi  del</w:t>
      </w:r>
      <w:proofErr w:type="gramEnd"/>
      <w:r>
        <w:rPr>
          <w:b/>
          <w:color w:val="0070C0"/>
          <w:sz w:val="32"/>
        </w:rPr>
        <w:t xml:space="preserve"> Festival dello Sviluppo Sostenibile 2020 </w:t>
      </w:r>
    </w:p>
    <w:p w:rsidR="00E70036" w:rsidRDefault="00605AF6">
      <w:pPr>
        <w:spacing w:after="95" w:line="259" w:lineRule="auto"/>
        <w:ind w:left="0" w:right="0" w:firstLine="0"/>
        <w:jc w:val="left"/>
      </w:pPr>
      <w:r>
        <w:rPr>
          <w:b/>
          <w:color w:val="C00000"/>
        </w:rPr>
        <w:t xml:space="preserve"> </w:t>
      </w:r>
    </w:p>
    <w:p w:rsidR="00E70036" w:rsidRDefault="00605AF6">
      <w:pPr>
        <w:pStyle w:val="Titolo1"/>
        <w:ind w:left="-5"/>
      </w:pPr>
      <w:r>
        <w:t>Come candidarsi per organizzare eventi nel Festival 2020</w:t>
      </w:r>
      <w:r>
        <w:rPr>
          <w:b w:val="0"/>
        </w:rPr>
        <w:t xml:space="preserve"> </w:t>
      </w:r>
    </w:p>
    <w:p w:rsidR="00E70036" w:rsidRDefault="00605AF6" w:rsidP="00F730A4">
      <w:pPr>
        <w:spacing w:after="0"/>
        <w:ind w:left="-5" w:right="0"/>
      </w:pPr>
      <w:r>
        <w:t>Tutti i soggetti, enti o privati cittadini, interessati a organizzare un evento nel Festival possono candidare una o più iniziative compilando l’apposito modulo</w:t>
      </w:r>
      <w:r w:rsidR="00F730A4">
        <w:t xml:space="preserve"> </w:t>
      </w:r>
      <w:bookmarkStart w:id="0" w:name="_GoBack"/>
      <w:bookmarkEnd w:id="0"/>
      <w:r w:rsidR="00592D1A">
        <w:fldChar w:fldCharType="begin"/>
      </w:r>
      <w:r w:rsidR="00592D1A">
        <w:instrText xml:space="preserve"> HYPERLINK "https://festivalsvilupposostenibile.it/2020/proponi-evento/" \h </w:instrText>
      </w:r>
      <w:r w:rsidR="00592D1A">
        <w:fldChar w:fldCharType="separate"/>
      </w:r>
      <w:r>
        <w:t>(</w:t>
      </w:r>
      <w:r w:rsidR="00592D1A">
        <w:fldChar w:fldCharType="end"/>
      </w:r>
      <w:hyperlink r:id="rId7">
        <w:r>
          <w:rPr>
            <w:color w:val="0563C1"/>
            <w:u w:val="single" w:color="0563C1"/>
          </w:rPr>
          <w:t>https://festivalsvilupposostenibile.it/2020/proponi</w:t>
        </w:r>
      </w:hyperlink>
      <w:hyperlink r:id="rId8">
        <w:r>
          <w:rPr>
            <w:color w:val="0563C1"/>
            <w:u w:val="single" w:color="0563C1"/>
          </w:rPr>
          <w:t>-</w:t>
        </w:r>
      </w:hyperlink>
      <w:hyperlink r:id="rId9">
        <w:r>
          <w:rPr>
            <w:color w:val="0563C1"/>
            <w:u w:val="single" w:color="0563C1"/>
          </w:rPr>
          <w:t>evento/</w:t>
        </w:r>
      </w:hyperlink>
      <w:hyperlink r:id="rId10">
        <w:r>
          <w:t>)</w:t>
        </w:r>
      </w:hyperlink>
      <w:r>
        <w:t xml:space="preserve">, nel rispetto dei criteri stabiliti nel presente documento. La compilazione non implica l’inserimento diretto dell’evento nel calendario del Festival: l’iniziativa sarà esaminata dal Comitato per la valutazione degli eventi conformemente ai </w:t>
      </w:r>
      <w:proofErr w:type="gramStart"/>
      <w:r>
        <w:t>criteri</w:t>
      </w:r>
      <w:proofErr w:type="gramEnd"/>
      <w:r>
        <w:t xml:space="preserve"> e secondo le tempistiche indicate di seguito. Si comunica che tutti i dati inseriti nel modulo online saranno uniformati secondo gli standard redazionali del sito. </w:t>
      </w:r>
    </w:p>
    <w:p w:rsidR="00E70036" w:rsidRDefault="00605AF6">
      <w:pPr>
        <w:spacing w:after="120" w:line="237" w:lineRule="auto"/>
        <w:ind w:left="0" w:right="0" w:firstLine="0"/>
        <w:jc w:val="left"/>
      </w:pPr>
      <w:r>
        <w:rPr>
          <w:b/>
        </w:rPr>
        <w:t xml:space="preserve">Si informa che la realizzazione e i costi di organizzazione degli eventi sono a carico dell’ente organizzatore. </w:t>
      </w:r>
    </w:p>
    <w:p w:rsidR="00E70036" w:rsidRDefault="00605AF6">
      <w:pPr>
        <w:spacing w:after="161"/>
        <w:ind w:left="-5" w:right="0"/>
      </w:pPr>
      <w:r>
        <w:t xml:space="preserve">Ciascun evento dovrà rispettare i seguenti </w:t>
      </w:r>
      <w:r>
        <w:rPr>
          <w:b/>
        </w:rPr>
        <w:t>criteri</w:t>
      </w:r>
      <w:r>
        <w:t xml:space="preserve"> stabiliti dal Comitato per la valutazione degli eventi nel Festival: </w:t>
      </w:r>
    </w:p>
    <w:p w:rsidR="00E70036" w:rsidRDefault="00605AF6">
      <w:pPr>
        <w:numPr>
          <w:ilvl w:val="0"/>
          <w:numId w:val="1"/>
        </w:numPr>
        <w:spacing w:after="147" w:line="248" w:lineRule="auto"/>
        <w:ind w:right="0" w:hanging="360"/>
      </w:pPr>
      <w:proofErr w:type="gramStart"/>
      <w:r>
        <w:t>avere</w:t>
      </w:r>
      <w:proofErr w:type="gramEnd"/>
      <w:r>
        <w:t xml:space="preserve"> una </w:t>
      </w:r>
      <w:r>
        <w:rPr>
          <w:b/>
        </w:rPr>
        <w:t>chiara ed esplicita attinenza</w:t>
      </w:r>
      <w:r>
        <w:t xml:space="preserve"> con i temi dell’Agenda 2030 ed essere riferibili a uno o più dei </w:t>
      </w:r>
      <w:r>
        <w:rPr>
          <w:b/>
        </w:rPr>
        <w:t>17</w:t>
      </w:r>
      <w:hyperlink r:id="rId11">
        <w:r>
          <w:t xml:space="preserve"> </w:t>
        </w:r>
      </w:hyperlink>
      <w:hyperlink r:id="rId12">
        <w:r>
          <w:rPr>
            <w:color w:val="0563C1"/>
            <w:u w:val="single" w:color="0563C1"/>
          </w:rPr>
          <w:t>Obiettivi di sviluppo sostenibile</w:t>
        </w:r>
      </w:hyperlink>
      <w:hyperlink r:id="rId13">
        <w:r>
          <w:t>;</w:t>
        </w:r>
      </w:hyperlink>
      <w:r>
        <w:t xml:space="preserve"> </w:t>
      </w:r>
    </w:p>
    <w:p w:rsidR="00E70036" w:rsidRDefault="00605AF6">
      <w:pPr>
        <w:numPr>
          <w:ilvl w:val="0"/>
          <w:numId w:val="1"/>
        </w:numPr>
        <w:spacing w:after="161"/>
        <w:ind w:right="0" w:hanging="360"/>
      </w:pPr>
      <w:proofErr w:type="gramStart"/>
      <w:r>
        <w:rPr>
          <w:b/>
        </w:rPr>
        <w:t>svolgersi</w:t>
      </w:r>
      <w:proofErr w:type="gramEnd"/>
      <w:r>
        <w:rPr>
          <w:b/>
        </w:rPr>
        <w:t xml:space="preserve"> nel periodo del Festival</w:t>
      </w:r>
      <w:r>
        <w:t xml:space="preserve"> (20 maggio-5 giugno), oppure nella settimana precedente alla data d’inizio e in quella successiva alla data di fine del Festival, le quali potranno accogliere ulteriori eventi, costituendo i cosiddetti “Dintorni del Festival” (13-19 maggio; 6-12 giugno);  </w:t>
      </w:r>
    </w:p>
    <w:p w:rsidR="00E70036" w:rsidRDefault="00605AF6">
      <w:pPr>
        <w:numPr>
          <w:ilvl w:val="0"/>
          <w:numId w:val="1"/>
        </w:numPr>
        <w:spacing w:after="164"/>
        <w:ind w:right="0" w:hanging="360"/>
      </w:pPr>
      <w:proofErr w:type="gramStart"/>
      <w:r>
        <w:rPr>
          <w:b/>
        </w:rPr>
        <w:t>essere</w:t>
      </w:r>
      <w:proofErr w:type="gramEnd"/>
      <w:r>
        <w:rPr>
          <w:b/>
        </w:rPr>
        <w:t xml:space="preserve"> registrato minimo 10 giorni prima della data dell’evento stesso e comunque non oltre il 15 maggio;</w:t>
      </w:r>
      <w:r>
        <w:t xml:space="preserve"> </w:t>
      </w:r>
    </w:p>
    <w:p w:rsidR="00E70036" w:rsidRDefault="00605AF6">
      <w:pPr>
        <w:numPr>
          <w:ilvl w:val="0"/>
          <w:numId w:val="1"/>
        </w:numPr>
        <w:spacing w:after="121"/>
        <w:ind w:right="0" w:hanging="360"/>
      </w:pPr>
      <w:proofErr w:type="gramStart"/>
      <w:r>
        <w:rPr>
          <w:b/>
        </w:rPr>
        <w:t>non</w:t>
      </w:r>
      <w:proofErr w:type="gramEnd"/>
      <w:r>
        <w:rPr>
          <w:b/>
        </w:rPr>
        <w:t xml:space="preserve"> avere finalità commerciali</w:t>
      </w:r>
      <w:r>
        <w:t xml:space="preserve">; </w:t>
      </w:r>
    </w:p>
    <w:p w:rsidR="00E70036" w:rsidRDefault="00605AF6">
      <w:pPr>
        <w:numPr>
          <w:ilvl w:val="0"/>
          <w:numId w:val="1"/>
        </w:numPr>
        <w:spacing w:after="63"/>
        <w:ind w:right="0" w:hanging="360"/>
      </w:pPr>
      <w:proofErr w:type="gramStart"/>
      <w:r>
        <w:rPr>
          <w:b/>
        </w:rPr>
        <w:t>seguire</w:t>
      </w:r>
      <w:proofErr w:type="gramEnd"/>
      <w:r>
        <w:rPr>
          <w:b/>
        </w:rPr>
        <w:t xml:space="preserve"> le linee guida di comunicazione e la grafica del Festival.</w:t>
      </w:r>
      <w:r>
        <w:t xml:space="preserve"> </w:t>
      </w:r>
    </w:p>
    <w:p w:rsidR="00E70036" w:rsidRDefault="00605AF6">
      <w:pPr>
        <w:spacing w:after="105"/>
        <w:ind w:right="0"/>
      </w:pPr>
      <w:r>
        <w:t xml:space="preserve">Il </w:t>
      </w:r>
      <w:r>
        <w:rPr>
          <w:b/>
        </w:rPr>
        <w:t>Comitato per la valutazione degli eventi nel Festival comunicherà la propria valutazione della proposta ai soggetti proponenti entro 10 giorni lavorativi</w:t>
      </w:r>
      <w:r>
        <w:t xml:space="preserve"> dalla data di presentazione della candidatura inviando una e-mail al referente per l’organizzazione dell’evento. Qualora l’esito della valutazione fosse positivo, </w:t>
      </w:r>
      <w:r>
        <w:rPr>
          <w:b/>
        </w:rPr>
        <w:t>agli organizzatori verranno fornite le linee guida di comunicazione e la grafica del Festival non appena disponibili</w:t>
      </w:r>
      <w:r>
        <w:t xml:space="preserve">, che dovranno essere applicate nei materiali di diffusione dell’evento (es: locandine, programmi, pagine social, ecc.).  </w:t>
      </w:r>
    </w:p>
    <w:p w:rsidR="00E70036" w:rsidRDefault="00605AF6">
      <w:pPr>
        <w:ind w:left="-5" w:right="0"/>
      </w:pPr>
      <w:r>
        <w:t>Si ricorda che una delle principali opportunità del Festival consiste nell’ampia diffusione del cartellone nei mesi che lo precedono.</w:t>
      </w:r>
      <w:r>
        <w:rPr>
          <w:b/>
        </w:rPr>
        <w:t xml:space="preserve"> L’Alleanza, infatti, valorizzerà le iniziative che faranno parte del cartellone attraverso operazioni di comunicazione e diffusione</w:t>
      </w:r>
      <w:r>
        <w:t xml:space="preserve"> sul sito del Festival, sui social media e la Newsletter, che per tutto l’arco dei 17 giorni saranno dedicate ai temi e alle iniziative del Festival, offrendo agli organizzatori degli eventi la possibilità di raggiungere un pubblico molto ampio grazie alla notorietà già acquisita con le precedenti edizioni. </w:t>
      </w:r>
    </w:p>
    <w:p w:rsidR="00E70036" w:rsidRDefault="00605AF6">
      <w:pPr>
        <w:ind w:left="-5" w:right="0"/>
      </w:pPr>
      <w:r>
        <w:rPr>
          <w:b/>
        </w:rPr>
        <w:lastRenderedPageBreak/>
        <w:t>Gli organizzatori potranno effettuare modifiche o fornire informazioni aggiuntive sul proprio evento in qualsiasi momento</w:t>
      </w:r>
      <w:r>
        <w:t xml:space="preserve">, accedendo nuovamente al portale con le credenziali con cui si è registrato l’evento. Le informazioni aggiornate saranno rese pubbliche a seguito della revisione dei contenuti da parte degli amministratori del sito. </w:t>
      </w:r>
    </w:p>
    <w:p w:rsidR="00E70036" w:rsidRDefault="00605AF6">
      <w:pPr>
        <w:pStyle w:val="Titolo1"/>
        <w:spacing w:after="0"/>
        <w:ind w:left="-5"/>
      </w:pPr>
      <w:r>
        <w:t xml:space="preserve">Condizioni di utilizzo </w:t>
      </w:r>
    </w:p>
    <w:p w:rsidR="00E70036" w:rsidRDefault="00605AF6">
      <w:pPr>
        <w:spacing w:after="36" w:line="248" w:lineRule="auto"/>
        <w:ind w:left="-9" w:right="0" w:hanging="6"/>
        <w:jc w:val="left"/>
      </w:pPr>
      <w:r>
        <w:t xml:space="preserve">Inviando il </w:t>
      </w:r>
      <w:proofErr w:type="spellStart"/>
      <w:r>
        <w:t>form</w:t>
      </w:r>
      <w:proofErr w:type="spellEnd"/>
      <w:r>
        <w:t xml:space="preserve"> l’organizzatore: </w:t>
      </w:r>
    </w:p>
    <w:p w:rsidR="00E70036" w:rsidRDefault="00605AF6">
      <w:pPr>
        <w:numPr>
          <w:ilvl w:val="0"/>
          <w:numId w:val="2"/>
        </w:numPr>
        <w:spacing w:after="12"/>
        <w:ind w:right="0" w:hanging="360"/>
        <w:jc w:val="left"/>
      </w:pPr>
      <w:proofErr w:type="gramStart"/>
      <w:r>
        <w:t>si</w:t>
      </w:r>
      <w:proofErr w:type="gramEnd"/>
      <w:r>
        <w:t xml:space="preserve"> impegna a seguire le linee guida di comunicazione e la grafica del Festival; </w:t>
      </w:r>
    </w:p>
    <w:p w:rsidR="00E70036" w:rsidRDefault="00605AF6">
      <w:pPr>
        <w:numPr>
          <w:ilvl w:val="0"/>
          <w:numId w:val="2"/>
        </w:numPr>
        <w:spacing w:after="11" w:line="248" w:lineRule="auto"/>
        <w:ind w:right="0" w:hanging="360"/>
        <w:jc w:val="left"/>
      </w:pPr>
      <w:proofErr w:type="gramStart"/>
      <w:r>
        <w:t>dichiara</w:t>
      </w:r>
      <w:proofErr w:type="gramEnd"/>
      <w:r>
        <w:t xml:space="preserve"> che l’evento non ha finalità commerciali; </w:t>
      </w:r>
    </w:p>
    <w:p w:rsidR="00E70036" w:rsidRDefault="00605AF6">
      <w:pPr>
        <w:numPr>
          <w:ilvl w:val="0"/>
          <w:numId w:val="2"/>
        </w:numPr>
        <w:spacing w:after="68" w:line="248" w:lineRule="auto"/>
        <w:ind w:right="0" w:hanging="360"/>
        <w:jc w:val="left"/>
      </w:pPr>
      <w:proofErr w:type="gramStart"/>
      <w:r>
        <w:t>si</w:t>
      </w:r>
      <w:proofErr w:type="gramEnd"/>
      <w:r>
        <w:t xml:space="preserve"> impegna ad esplicitare chiaramente nei propri canali che l’evento rientra nel Festival; </w:t>
      </w:r>
      <w:r>
        <w:rPr>
          <w:rFonts w:ascii="Segoe UI Symbol" w:eastAsia="Segoe UI Symbol" w:hAnsi="Segoe UI Symbol" w:cs="Segoe UI Symbol"/>
        </w:rPr>
        <w:t>•</w:t>
      </w:r>
      <w:r>
        <w:rPr>
          <w:rFonts w:ascii="Arial" w:eastAsia="Arial" w:hAnsi="Arial" w:cs="Arial"/>
        </w:rPr>
        <w:t xml:space="preserve"> </w:t>
      </w:r>
      <w:r>
        <w:t xml:space="preserve">autorizza il trattamento dei dati personali ai sensi del </w:t>
      </w:r>
      <w:proofErr w:type="spellStart"/>
      <w:r>
        <w:t>Gdpr</w:t>
      </w:r>
      <w:proofErr w:type="spellEnd"/>
      <w:r>
        <w:t xml:space="preserve"> 2016/679. </w:t>
      </w:r>
    </w:p>
    <w:p w:rsidR="00E70036" w:rsidRDefault="00605AF6">
      <w:pPr>
        <w:pStyle w:val="Titolo1"/>
        <w:ind w:left="-5"/>
      </w:pPr>
      <w:r>
        <w:t>Tipologia degli eventi</w:t>
      </w:r>
      <w:r>
        <w:rPr>
          <w:b w:val="0"/>
        </w:rPr>
        <w:t xml:space="preserve"> </w:t>
      </w:r>
    </w:p>
    <w:p w:rsidR="00E70036" w:rsidRDefault="00605AF6">
      <w:pPr>
        <w:spacing w:after="165"/>
        <w:ind w:left="-5" w:right="0"/>
      </w:pPr>
      <w:r>
        <w:t xml:space="preserve">Si ricorda che oltre ai classici format (conferenze, tavole rotonde, workshop, ecc.), è possibile utilizzare modalità innovative per realizzare eventi che contribuiscano a diffondere la cultura della sostenibilità in modo efficace, quali: </w:t>
      </w:r>
    </w:p>
    <w:p w:rsidR="00E70036" w:rsidRDefault="00605AF6">
      <w:pPr>
        <w:numPr>
          <w:ilvl w:val="0"/>
          <w:numId w:val="3"/>
        </w:numPr>
        <w:ind w:right="0" w:hanging="360"/>
      </w:pPr>
      <w:proofErr w:type="gramStart"/>
      <w:r>
        <w:t>eventi</w:t>
      </w:r>
      <w:proofErr w:type="gramEnd"/>
      <w:r>
        <w:t xml:space="preserve"> sportivi per sostenere una causa legata alla sostenibilità; </w:t>
      </w:r>
    </w:p>
    <w:p w:rsidR="00E70036" w:rsidRDefault="00605AF6">
      <w:pPr>
        <w:numPr>
          <w:ilvl w:val="0"/>
          <w:numId w:val="3"/>
        </w:numPr>
        <w:ind w:right="0" w:hanging="360"/>
      </w:pPr>
      <w:proofErr w:type="gramStart"/>
      <w:r>
        <w:t>manifestazione</w:t>
      </w:r>
      <w:proofErr w:type="gramEnd"/>
      <w:r>
        <w:t xml:space="preserve"> artistiche (concerti, spettacoli, mostre, </w:t>
      </w:r>
      <w:proofErr w:type="spellStart"/>
      <w:r>
        <w:t>reading</w:t>
      </w:r>
      <w:proofErr w:type="spellEnd"/>
      <w:r>
        <w:t xml:space="preserve">, proiezioni, ecc.); </w:t>
      </w:r>
    </w:p>
    <w:p w:rsidR="00E70036" w:rsidRDefault="00605AF6">
      <w:pPr>
        <w:numPr>
          <w:ilvl w:val="0"/>
          <w:numId w:val="3"/>
        </w:numPr>
        <w:ind w:right="0" w:hanging="360"/>
      </w:pPr>
      <w:proofErr w:type="gramStart"/>
      <w:r>
        <w:t>laboratori</w:t>
      </w:r>
      <w:proofErr w:type="gramEnd"/>
      <w:r>
        <w:t xml:space="preserve"> sperimentali che prevedano la partecipazione attiva dei cittadini; </w:t>
      </w:r>
    </w:p>
    <w:p w:rsidR="00E70036" w:rsidRDefault="00605AF6">
      <w:pPr>
        <w:numPr>
          <w:ilvl w:val="0"/>
          <w:numId w:val="3"/>
        </w:numPr>
        <w:spacing w:after="164"/>
        <w:ind w:right="0" w:hanging="360"/>
      </w:pPr>
      <w:proofErr w:type="gramStart"/>
      <w:r>
        <w:t>attività</w:t>
      </w:r>
      <w:proofErr w:type="gramEnd"/>
      <w:r>
        <w:t xml:space="preserve"> educative/formative per i più giovani (giochi di simulazione, co-progettazione, utilizzo di attività ludiche per stimolare comportamenti sostenibili, ecc.) che coinvolgano anche l’uso di strumenti comunicativi originali; </w:t>
      </w:r>
    </w:p>
    <w:p w:rsidR="00E70036" w:rsidRDefault="00605AF6">
      <w:pPr>
        <w:numPr>
          <w:ilvl w:val="0"/>
          <w:numId w:val="3"/>
        </w:numPr>
        <w:ind w:right="0" w:hanging="360"/>
      </w:pPr>
      <w:proofErr w:type="gramStart"/>
      <w:r>
        <w:t>attività</w:t>
      </w:r>
      <w:proofErr w:type="gramEnd"/>
      <w:r>
        <w:t xml:space="preserve"> culturali;  </w:t>
      </w:r>
    </w:p>
    <w:p w:rsidR="00E70036" w:rsidRDefault="00605AF6">
      <w:pPr>
        <w:numPr>
          <w:ilvl w:val="0"/>
          <w:numId w:val="3"/>
        </w:numPr>
        <w:spacing w:after="63"/>
        <w:ind w:right="0" w:hanging="360"/>
      </w:pPr>
      <w:proofErr w:type="gramStart"/>
      <w:r>
        <w:t>attività</w:t>
      </w:r>
      <w:proofErr w:type="gramEnd"/>
      <w:r>
        <w:t xml:space="preserve"> per la riqualificazione di un’area degradata. </w:t>
      </w:r>
    </w:p>
    <w:p w:rsidR="00E70036" w:rsidRDefault="00605AF6">
      <w:pPr>
        <w:pStyle w:val="Titolo1"/>
        <w:spacing w:after="0"/>
        <w:ind w:left="0" w:firstLine="0"/>
      </w:pPr>
      <w:r>
        <w:t xml:space="preserve">Invio di materiali a conclusione dell’evento </w:t>
      </w:r>
    </w:p>
    <w:p w:rsidR="00E70036" w:rsidRDefault="00605AF6">
      <w:pPr>
        <w:spacing w:after="110" w:line="248" w:lineRule="auto"/>
        <w:ind w:left="-9" w:right="0" w:hanging="6"/>
        <w:jc w:val="left"/>
      </w:pPr>
      <w:r>
        <w:t xml:space="preserve">Saremmo lieti di ricevere il materiale di follow-up del vostro evento per raccontare i risultati degli eventi del Festival attraverso la newsletter, il sito del Festival e i canali </w:t>
      </w:r>
      <w:proofErr w:type="spellStart"/>
      <w:r>
        <w:t>ASviS</w:t>
      </w:r>
      <w:proofErr w:type="spellEnd"/>
      <w:r>
        <w:t xml:space="preserve">. Sarà possibile inviare comunicati stampa di conclusione, immagini e altri materiali all’indirizzo: </w:t>
      </w:r>
      <w:r>
        <w:rPr>
          <w:color w:val="0000FF"/>
          <w:u w:val="single" w:color="0000FF"/>
        </w:rPr>
        <w:t>eventi@festival-asvis.net</w:t>
      </w:r>
      <w:r>
        <w:t xml:space="preserve">. </w:t>
      </w:r>
    </w:p>
    <w:p w:rsidR="00E70036" w:rsidRDefault="00605AF6">
      <w:pPr>
        <w:pStyle w:val="Titolo1"/>
        <w:spacing w:after="0"/>
        <w:ind w:left="-5"/>
      </w:pPr>
      <w:r>
        <w:t xml:space="preserve">Contatti </w:t>
      </w:r>
    </w:p>
    <w:p w:rsidR="00E70036" w:rsidRDefault="00605AF6">
      <w:pPr>
        <w:spacing w:after="147" w:line="248" w:lineRule="auto"/>
        <w:ind w:left="-9" w:right="0" w:hanging="6"/>
        <w:jc w:val="left"/>
      </w:pPr>
      <w:r>
        <w:t xml:space="preserve">Per qualsiasi informazione relativa agli eventi e la registrazione del proprio evento, contattare l’indirizzo email </w:t>
      </w:r>
      <w:r>
        <w:rPr>
          <w:color w:val="0000FF"/>
          <w:u w:val="single" w:color="0000FF"/>
        </w:rPr>
        <w:t>eventi@festival-asvis.net</w:t>
      </w:r>
      <w:r>
        <w:t>.</w:t>
      </w:r>
      <w:r>
        <w:rPr>
          <w:rFonts w:ascii="Arial" w:eastAsia="Arial" w:hAnsi="Arial" w:cs="Arial"/>
        </w:rPr>
        <w:t xml:space="preserve"> </w:t>
      </w:r>
      <w:r>
        <w:rPr>
          <w:rFonts w:ascii="Arial" w:eastAsia="Arial" w:hAnsi="Arial" w:cs="Arial"/>
        </w:rPr>
        <w:tab/>
      </w:r>
      <w:r>
        <w:t xml:space="preserve"> </w:t>
      </w:r>
    </w:p>
    <w:p w:rsidR="00E70036" w:rsidRDefault="00605AF6">
      <w:pPr>
        <w:spacing w:after="94" w:line="259" w:lineRule="auto"/>
        <w:ind w:left="0" w:right="0" w:firstLine="0"/>
        <w:jc w:val="left"/>
      </w:pPr>
      <w:r>
        <w:rPr>
          <w:b/>
          <w:color w:val="C00000"/>
        </w:rPr>
        <w:t xml:space="preserve"> </w:t>
      </w:r>
    </w:p>
    <w:p w:rsidR="00E70036" w:rsidRDefault="00605AF6">
      <w:pPr>
        <w:pStyle w:val="Titolo1"/>
        <w:ind w:left="-5"/>
      </w:pPr>
      <w:r>
        <w:t xml:space="preserve">Consigli per realizzare un evento sostenibile </w:t>
      </w:r>
      <w:r>
        <w:rPr>
          <w:b w:val="0"/>
        </w:rPr>
        <w:t xml:space="preserve"> </w:t>
      </w:r>
    </w:p>
    <w:p w:rsidR="00E70036" w:rsidRDefault="00605AF6">
      <w:pPr>
        <w:ind w:left="-5" w:right="0"/>
      </w:pPr>
      <w:r>
        <w:t xml:space="preserve">Organizzare un evento all’interno del Festival dello sviluppo sostenibile 2020 sarà un’occasione non solo per trattare i temi dell’Agenda 2030, ma anche per promuovere la sostenibilità nella pratica. In questa logica, le modalità di realizzazione dell’evento stesso sono un modo per comunicare l’impegno alla sostenibilità e creare valore per i partecipanti. Si propongono, dunque, alcune linee guida per una pianificazione che tenga conto della sostenibilità in tutte le fasi dell’organizzazione.  </w:t>
      </w:r>
    </w:p>
    <w:p w:rsidR="00E70036" w:rsidRDefault="00605AF6">
      <w:pPr>
        <w:spacing w:after="145"/>
        <w:ind w:left="-5" w:right="0"/>
      </w:pPr>
      <w:r>
        <w:t xml:space="preserve">Una prima accortezza riguarda </w:t>
      </w:r>
      <w:r>
        <w:rPr>
          <w:b/>
        </w:rPr>
        <w:t>la scelta del luogo dell’evento</w:t>
      </w:r>
      <w:r>
        <w:t xml:space="preserve">, il quale dovrebbe assicurare: </w:t>
      </w:r>
    </w:p>
    <w:p w:rsidR="00E70036" w:rsidRDefault="00605AF6">
      <w:pPr>
        <w:numPr>
          <w:ilvl w:val="0"/>
          <w:numId w:val="4"/>
        </w:numPr>
        <w:spacing w:after="161" w:line="236" w:lineRule="auto"/>
        <w:ind w:right="0" w:hanging="360"/>
      </w:pPr>
      <w:proofErr w:type="gramStart"/>
      <w:r>
        <w:lastRenderedPageBreak/>
        <w:t>l’accessibilità</w:t>
      </w:r>
      <w:proofErr w:type="gramEnd"/>
      <w:r>
        <w:t xml:space="preserve"> per i disabili rispetto al movimento nello spazio (presenza di ascensori, servizi igienici adeguati, rimozione di ostacoli come l’eliminazione di gradini mediante eventuali rampe rimovibili, individuazione di un referente dell’accessibilità a disposizione per il superamento di barriere, ecc.);  </w:t>
      </w:r>
    </w:p>
    <w:p w:rsidR="00E70036" w:rsidRDefault="00605AF6">
      <w:pPr>
        <w:numPr>
          <w:ilvl w:val="0"/>
          <w:numId w:val="4"/>
        </w:numPr>
        <w:spacing w:after="0" w:line="377" w:lineRule="auto"/>
        <w:ind w:right="0" w:hanging="360"/>
      </w:pPr>
      <w:proofErr w:type="gramStart"/>
      <w:r>
        <w:t>la</w:t>
      </w:r>
      <w:proofErr w:type="gramEnd"/>
      <w:r>
        <w:t xml:space="preserve"> possibilità di raggiungere la location a piedi, con i trasporti pubblici o altri mezzi sostenibili;  -</w:t>
      </w:r>
      <w:r>
        <w:rPr>
          <w:rFonts w:ascii="Arial" w:eastAsia="Arial" w:hAnsi="Arial" w:cs="Arial"/>
        </w:rPr>
        <w:t xml:space="preserve"> </w:t>
      </w:r>
      <w:r>
        <w:t xml:space="preserve">l’efficienza energetica dell’edificio e gestione interna dei rifiuti, dell’acqua e di altre risorse.  </w:t>
      </w:r>
    </w:p>
    <w:p w:rsidR="00E70036" w:rsidRDefault="00605AF6">
      <w:pPr>
        <w:spacing w:after="101" w:line="248" w:lineRule="auto"/>
        <w:ind w:left="-9" w:right="0" w:hanging="6"/>
        <w:jc w:val="left"/>
      </w:pPr>
      <w:r>
        <w:t xml:space="preserve">Le stesse considerazioni possono essere fatte per la scelta dell’ospitalità dei relatori.  </w:t>
      </w:r>
    </w:p>
    <w:p w:rsidR="00E70036" w:rsidRDefault="00605AF6">
      <w:pPr>
        <w:spacing w:after="147" w:line="248" w:lineRule="auto"/>
        <w:ind w:left="-9" w:right="0" w:hanging="6"/>
        <w:jc w:val="left"/>
      </w:pPr>
      <w:r>
        <w:t xml:space="preserve">Il </w:t>
      </w:r>
      <w:r>
        <w:rPr>
          <w:b/>
        </w:rPr>
        <w:t>catering</w:t>
      </w:r>
      <w:r>
        <w:t xml:space="preserve">, ove previsto, è un altro aspetto che incide sull’impatto dell’evento. Quindi:  </w:t>
      </w:r>
    </w:p>
    <w:p w:rsidR="00E70036" w:rsidRDefault="00605AF6">
      <w:pPr>
        <w:numPr>
          <w:ilvl w:val="0"/>
          <w:numId w:val="4"/>
        </w:numPr>
        <w:spacing w:after="149"/>
        <w:ind w:right="0" w:hanging="360"/>
      </w:pPr>
      <w:proofErr w:type="gramStart"/>
      <w:r>
        <w:t>è</w:t>
      </w:r>
      <w:proofErr w:type="gramEnd"/>
      <w:r>
        <w:t xml:space="preserve"> opportuno scegliere prodotti locali, di stagione e provenienti da agricoltura biologica, ma anche prendere in considerazione menù vegetariani e per celiaci; </w:t>
      </w:r>
    </w:p>
    <w:p w:rsidR="00E70036" w:rsidRDefault="00605AF6">
      <w:pPr>
        <w:numPr>
          <w:ilvl w:val="0"/>
          <w:numId w:val="4"/>
        </w:numPr>
        <w:spacing w:after="145"/>
        <w:ind w:right="0" w:hanging="360"/>
      </w:pPr>
      <w:proofErr w:type="gramStart"/>
      <w:r>
        <w:t>è</w:t>
      </w:r>
      <w:proofErr w:type="gramEnd"/>
      <w:r>
        <w:t xml:space="preserve"> utile sviluppare delle partnership con associazioni per il recupero degli eventuali prodotti non consumati; </w:t>
      </w:r>
    </w:p>
    <w:p w:rsidR="00E70036" w:rsidRDefault="00605AF6">
      <w:pPr>
        <w:numPr>
          <w:ilvl w:val="0"/>
          <w:numId w:val="4"/>
        </w:numPr>
        <w:ind w:right="0" w:hanging="360"/>
      </w:pPr>
      <w:proofErr w:type="gramStart"/>
      <w:r>
        <w:t>per</w:t>
      </w:r>
      <w:proofErr w:type="gramEnd"/>
      <w:r>
        <w:t xml:space="preserve"> le stoviglie è possibile utilizzare piatti, bicchieri, posate e tovaglioli biodegradabili.  </w:t>
      </w:r>
    </w:p>
    <w:p w:rsidR="00E70036" w:rsidRDefault="00605AF6">
      <w:pPr>
        <w:ind w:left="-5" w:right="0"/>
      </w:pPr>
      <w:r>
        <w:t xml:space="preserve">La sostenibilità di un evento passa anche dalla </w:t>
      </w:r>
      <w:r>
        <w:rPr>
          <w:b/>
        </w:rPr>
        <w:t>gestione dei rifiuti</w:t>
      </w:r>
      <w:r>
        <w:t>, che bisogna</w:t>
      </w:r>
      <w:r>
        <w:rPr>
          <w:b/>
        </w:rPr>
        <w:t xml:space="preserve"> </w:t>
      </w:r>
      <w:r>
        <w:t xml:space="preserve">cercare di ridurre al minimo, evitando ad esempio gli imballaggi e gli articoli monouso. È inoltre opportuno prevedere un sistema di raccolta differenziata con gli appositi contenitori.  </w:t>
      </w:r>
    </w:p>
    <w:p w:rsidR="00E70036" w:rsidRDefault="00605AF6">
      <w:pPr>
        <w:spacing w:after="147" w:line="248" w:lineRule="auto"/>
        <w:ind w:left="-9" w:right="0" w:hanging="6"/>
        <w:jc w:val="left"/>
      </w:pPr>
      <w:r>
        <w:t xml:space="preserve">La </w:t>
      </w:r>
      <w:r>
        <w:rPr>
          <w:b/>
        </w:rPr>
        <w:t xml:space="preserve">comunicazione </w:t>
      </w:r>
      <w:r>
        <w:t xml:space="preserve">dell’evento può essere fatta in modo da ridurre il più possibile l’utilizzo di carta e renderlo più accessibile. Si suggerisce, quindi, di: </w:t>
      </w:r>
    </w:p>
    <w:p w:rsidR="00E70036" w:rsidRDefault="00605AF6">
      <w:pPr>
        <w:numPr>
          <w:ilvl w:val="0"/>
          <w:numId w:val="4"/>
        </w:numPr>
        <w:spacing w:after="144"/>
        <w:ind w:right="0" w:hanging="360"/>
      </w:pPr>
      <w:proofErr w:type="gramStart"/>
      <w:r>
        <w:t>rendere</w:t>
      </w:r>
      <w:proofErr w:type="gramEnd"/>
      <w:r>
        <w:t xml:space="preserve"> disponibile online tutti i materiali, ove possibile inviandoli ai partecipanti via e-mail, e prevedere la registrazione tramite web; </w:t>
      </w:r>
    </w:p>
    <w:p w:rsidR="00E70036" w:rsidRDefault="00605AF6">
      <w:pPr>
        <w:numPr>
          <w:ilvl w:val="0"/>
          <w:numId w:val="4"/>
        </w:numPr>
        <w:spacing w:after="147" w:line="248" w:lineRule="auto"/>
        <w:ind w:right="0" w:hanging="360"/>
      </w:pPr>
      <w:proofErr w:type="gramStart"/>
      <w:r>
        <w:t>prevedere</w:t>
      </w:r>
      <w:proofErr w:type="gramEnd"/>
      <w:r>
        <w:t xml:space="preserve"> servizi come l’interpretariato della lingua dei segni o altre agevolazioni; </w:t>
      </w:r>
    </w:p>
    <w:p w:rsidR="00E70036" w:rsidRDefault="00605AF6">
      <w:pPr>
        <w:numPr>
          <w:ilvl w:val="0"/>
          <w:numId w:val="4"/>
        </w:numPr>
        <w:ind w:right="0" w:hanging="360"/>
      </w:pPr>
      <w:proofErr w:type="gramStart"/>
      <w:r>
        <w:t>disegnare</w:t>
      </w:r>
      <w:proofErr w:type="gramEnd"/>
      <w:r>
        <w:t xml:space="preserve"> i materiali informativi e i contenuti dell’evento per renderli fruibili in più formati per soddisfare le diverse esigenze (cartaceo e digitale, streaming o registrazione audio/video dell’evento, resoconto scritto dei contenuti) e favorendo un’elevata leggibilità e comprensibilità dei testi attraverso adeguate dimensioni e caratteristiche del font e il supporto di immagini.  </w:t>
      </w:r>
    </w:p>
    <w:p w:rsidR="00E70036" w:rsidRDefault="00605AF6">
      <w:pPr>
        <w:ind w:left="-5" w:right="0"/>
      </w:pPr>
      <w:r>
        <w:t xml:space="preserve">È possibile, inoltre, </w:t>
      </w:r>
      <w:r>
        <w:rPr>
          <w:b/>
        </w:rPr>
        <w:t>neutralizzare le</w:t>
      </w:r>
      <w:r>
        <w:t xml:space="preserve"> </w:t>
      </w:r>
      <w:r>
        <w:rPr>
          <w:b/>
        </w:rPr>
        <w:t>emissioni di CO</w:t>
      </w:r>
      <w:r>
        <w:rPr>
          <w:b/>
          <w:vertAlign w:val="subscript"/>
        </w:rPr>
        <w:t>2</w:t>
      </w:r>
      <w:r>
        <w:rPr>
          <w:b/>
        </w:rPr>
        <w:t xml:space="preserve"> </w:t>
      </w:r>
      <w:r>
        <w:t>prodotte dall'evento, prevedendo la compensazione delle emissioni; ad esempio, per le edizioni 2017, 2018 e 2019 del Festival, l’</w:t>
      </w:r>
      <w:proofErr w:type="spellStart"/>
      <w:r>
        <w:t>ASviS</w:t>
      </w:r>
      <w:proofErr w:type="spellEnd"/>
      <w:r>
        <w:t xml:space="preserve"> ha attivato una collaborazione con </w:t>
      </w:r>
      <w:proofErr w:type="spellStart"/>
      <w:r>
        <w:t>Treedom</w:t>
      </w:r>
      <w:proofErr w:type="spellEnd"/>
      <w:r>
        <w:rPr>
          <w:vertAlign w:val="superscript"/>
        </w:rPr>
        <w:footnoteReference w:id="1"/>
      </w:r>
      <w:r>
        <w:t xml:space="preserve"> per quantificare e riassorbire la CO</w:t>
      </w:r>
      <w:r>
        <w:rPr>
          <w:vertAlign w:val="subscript"/>
        </w:rPr>
        <w:t>2</w:t>
      </w:r>
      <w:r>
        <w:t xml:space="preserve"> prodotta dai tre eventi organizzati dal Segretariato. Infine, per una maggiore sostenibilità dell’evento nella sua dimensione sociale si suggerisce di applicare, per quanto possibile, il criterio di parità di genere al tavolo dei relatori.  </w:t>
      </w:r>
    </w:p>
    <w:p w:rsidR="00E70036" w:rsidRDefault="00605AF6">
      <w:pPr>
        <w:spacing w:after="0" w:line="259" w:lineRule="auto"/>
        <w:ind w:left="0" w:right="0" w:firstLine="0"/>
        <w:jc w:val="left"/>
      </w:pPr>
      <w:r>
        <w:rPr>
          <w:b/>
          <w:color w:val="C00000"/>
        </w:rPr>
        <w:t xml:space="preserve"> </w:t>
      </w:r>
    </w:p>
    <w:p w:rsidR="00E70036" w:rsidRDefault="00605AF6">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10160"/>
                <wp:effectExtent l="0" t="0" r="0" b="0"/>
                <wp:docPr id="2923" name="Group 2923"/>
                <wp:cNvGraphicFramePr/>
                <a:graphic xmlns:a="http://schemas.openxmlformats.org/drawingml/2006/main">
                  <a:graphicData uri="http://schemas.microsoft.com/office/word/2010/wordprocessingGroup">
                    <wpg:wgp>
                      <wpg:cNvGrpSpPr/>
                      <wpg:grpSpPr>
                        <a:xfrm>
                          <a:off x="0" y="0"/>
                          <a:ext cx="1829435" cy="10160"/>
                          <a:chOff x="0" y="0"/>
                          <a:chExt cx="1829435" cy="10160"/>
                        </a:xfrm>
                      </wpg:grpSpPr>
                      <wps:wsp>
                        <wps:cNvPr id="3557" name="Shape 3557"/>
                        <wps:cNvSpPr/>
                        <wps:spPr>
                          <a:xfrm>
                            <a:off x="0" y="0"/>
                            <a:ext cx="1829435" cy="10160"/>
                          </a:xfrm>
                          <a:custGeom>
                            <a:avLst/>
                            <a:gdLst/>
                            <a:ahLst/>
                            <a:cxnLst/>
                            <a:rect l="0" t="0" r="0" b="0"/>
                            <a:pathLst>
                              <a:path w="1829435" h="10160">
                                <a:moveTo>
                                  <a:pt x="0" y="0"/>
                                </a:moveTo>
                                <a:lnTo>
                                  <a:pt x="1829435" y="0"/>
                                </a:lnTo>
                                <a:lnTo>
                                  <a:pt x="182943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0AF6C7" id="Group 2923" o:spid="_x0000_s1026" style="width:144.05pt;height:.8pt;mso-position-horizontal-relative:char;mso-position-vertical-relative:line" coordsize="1829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gdeAIAAFsGAAAOAAAAZHJzL2Uyb0RvYy54bWykVdtu2zAMfR+wfxD8vtpxll6MOH1Yt7wM&#10;W7F2H6DI8gXQDZISJ38/irYVI906oM2DTVOHR+QRxazvj1KQA7eu06pMFldZQrhiuupUUya/n799&#10;uk2I81RVVGjFy+TEXXK/+fhh3ZuC57rVouKWAIlyRW/KpPXeFGnqWMsldVfacAWLtbaSevi0TVpZ&#10;2gO7FGmeZddpr21lrGbcOfA+DIvJBvnrmjP/s64d90SUCeTm8WnxuQvPdLOmRWOpaTs2pkHfkIWk&#10;nYJNI9UD9ZTsbfeCSnbMaqdrf8W0THVdd4xjDVDNIruoZmv13mAtTdE3JsoE0l7o9GZa9uPwaElX&#10;lUl+ly8ToqiEU8KNCXpAoN40BeC21jyZRzs6muEr1HysrQxvqIYcUdpTlJYfPWHgXNzmd5+Xq4Qw&#10;WFtki+tRetbC+byIYu3XV+PSadM05BZT6Q00kTvr5N6n01NLDUf5Xah/1Gm5Wt1MOiGCoAdlQVwU&#10;yRUO9HqfQrFSWrC981uuUWp6+O780LvVZNF2sthRTaaFG/Bq7xvqQ1zIMpikn51VOx1VWJX6wJ81&#10;4vzFgUGS51Wh5qh47lNLAHZCTG+DfHNkbJB/ouEuzxvpPzhstogBI5S6WY8Glg/2XGChghKwC6Mw&#10;lWpBPV5v2XkYV6KToEx+k2VnYmAL7TecOFr+JHiQS6hfvIYrhlcjOJxtdl+EJQcahhL+kJwK09LR&#10;GwYTpDRC0UaeEF93QkTKBYb+jXJgGMEhjuM8jJHZEMnGbIahCKMFip5GI2QQg3BnrXyMVzDQMc1Z&#10;tcHc6eqEYwIFgfuI0uAEwzrGaRtG5PwbUef/hM0fAAAA//8DAFBLAwQUAAYACAAAACEAkGlIqNoA&#10;AAADAQAADwAAAGRycy9kb3ducmV2LnhtbEyPQUvDQBCF70L/wzIFb3aTiiXEbEop6qkItoJ4mybT&#10;JDQ7G7LbJP33jl7s5cHwHu99k60n26qBet84NhAvIlDEhSsbrgx8Hl4fElA+IJfYOiYDV/Kwzmd3&#10;GaalG/mDhn2olJSwT9FAHUKXau2Lmiz6heuIxTu53mKQs6902eMo5bbVyyhaaYsNy0KNHW1rKs77&#10;izXwNuK4eYxfht35tL1+H57ev3YxGXM/nzbPoAJN4T8Mv/iCDrkwHd2FS69aA/JI+FPxlkkSgzpK&#10;aAU6z/Qte/4DAAD//wMAUEsBAi0AFAAGAAgAAAAhALaDOJL+AAAA4QEAABMAAAAAAAAAAAAAAAAA&#10;AAAAAFtDb250ZW50X1R5cGVzXS54bWxQSwECLQAUAAYACAAAACEAOP0h/9YAAACUAQAACwAAAAAA&#10;AAAAAAAAAAAvAQAAX3JlbHMvLnJlbHNQSwECLQAUAAYACAAAACEAzX44HXgCAABbBgAADgAAAAAA&#10;AAAAAAAAAAAuAgAAZHJzL2Uyb0RvYy54bWxQSwECLQAUAAYACAAAACEAkGlIqNoAAAADAQAADwAA&#10;AAAAAAAAAAAAAADSBAAAZHJzL2Rvd25yZXYueG1sUEsFBgAAAAAEAAQA8wAAANkFAAAAAA==&#10;">
                <v:shape id="Shape 3557" o:spid="_x0000_s1027" style="position:absolute;width:18294;height:101;visibility:visible;mso-wrap-style:square;v-text-anchor:top" coordsize="1829435,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OvccA&#10;AADdAAAADwAAAGRycy9kb3ducmV2LnhtbESPT2sCMRTE70K/Q3iF3jRby6qsRpGWQouU4p+Dx+fm&#10;ubu4eVmSVGM/vSkIPQ4z8xtmtoimFWdyvrGs4HmQgSAurW64UrDbvvcnIHxA1thaJgVX8rCYP/Rm&#10;WGh74TWdN6ESCcK+QAV1CF0hpS9rMugHtiNO3tE6gyFJV0nt8JLgppXDLBtJgw2nhRo7eq2pPG1+&#10;jIKvt1/nr/xdlcP9YRnjKuaf47VST49xOQURKIb/8L39oRW85PkY/t6k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ZTr3HAAAA3QAAAA8AAAAAAAAAAAAAAAAAmAIAAGRy&#10;cy9kb3ducmV2LnhtbFBLBQYAAAAABAAEAPUAAACMAwAAAAA=&#10;" path="m,l1829435,r,10160l,10160,,e" fillcolor="black" stroked="f" strokeweight="0">
                  <v:stroke miterlimit="83231f" joinstyle="miter"/>
                  <v:path arrowok="t" textboxrect="0,0,1829435,10160"/>
                </v:shape>
                <w10:anchorlock/>
              </v:group>
            </w:pict>
          </mc:Fallback>
        </mc:AlternateContent>
      </w:r>
      <w:r>
        <w:rPr>
          <w:rFonts w:ascii="Calibri" w:eastAsia="Calibri" w:hAnsi="Calibri" w:cs="Calibri"/>
          <w:sz w:val="22"/>
        </w:rPr>
        <w:t xml:space="preserve"> </w:t>
      </w:r>
    </w:p>
    <w:sectPr w:rsidR="00E70036">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0" w:h="16840"/>
      <w:pgMar w:top="1650" w:right="708" w:bottom="1513" w:left="721"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1A" w:rsidRDefault="00592D1A">
      <w:pPr>
        <w:spacing w:after="0" w:line="240" w:lineRule="auto"/>
      </w:pPr>
      <w:r>
        <w:separator/>
      </w:r>
    </w:p>
  </w:endnote>
  <w:endnote w:type="continuationSeparator" w:id="0">
    <w:p w:rsidR="00592D1A" w:rsidRDefault="0059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36" w:rsidRDefault="00605AF6">
    <w:pPr>
      <w:spacing w:after="0" w:line="259" w:lineRule="auto"/>
      <w:ind w:left="-720" w:right="-478" w:firstLine="0"/>
      <w:jc w:val="right"/>
    </w:pPr>
    <w:r>
      <w:rPr>
        <w:noProof/>
      </w:rPr>
      <w:drawing>
        <wp:anchor distT="0" distB="0" distL="114300" distR="114300" simplePos="0" relativeHeight="251664384" behindDoc="0" locked="0" layoutInCell="1" allowOverlap="0">
          <wp:simplePos x="0" y="0"/>
          <wp:positionH relativeFrom="page">
            <wp:posOffset>0</wp:posOffset>
          </wp:positionH>
          <wp:positionV relativeFrom="page">
            <wp:posOffset>9778999</wp:posOffset>
          </wp:positionV>
          <wp:extent cx="7376161" cy="917448"/>
          <wp:effectExtent l="0" t="0" r="0" b="0"/>
          <wp:wrapSquare wrapText="bothSides"/>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1"/>
                  <a:stretch>
                    <a:fillRect/>
                  </a:stretch>
                </pic:blipFill>
                <pic:spPr>
                  <a:xfrm>
                    <a:off x="0" y="0"/>
                    <a:ext cx="7376161" cy="917448"/>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36" w:rsidRDefault="00605AF6">
    <w:pPr>
      <w:spacing w:after="0" w:line="259" w:lineRule="auto"/>
      <w:ind w:left="-720" w:right="-478" w:firstLine="0"/>
      <w:jc w:val="right"/>
    </w:pPr>
    <w:r>
      <w:rPr>
        <w:noProof/>
      </w:rPr>
      <w:drawing>
        <wp:anchor distT="0" distB="0" distL="114300" distR="114300" simplePos="0" relativeHeight="251665408" behindDoc="0" locked="0" layoutInCell="1" allowOverlap="0">
          <wp:simplePos x="0" y="0"/>
          <wp:positionH relativeFrom="page">
            <wp:posOffset>0</wp:posOffset>
          </wp:positionH>
          <wp:positionV relativeFrom="page">
            <wp:posOffset>9778999</wp:posOffset>
          </wp:positionV>
          <wp:extent cx="7376161" cy="917448"/>
          <wp:effectExtent l="0" t="0" r="0" b="0"/>
          <wp:wrapSquare wrapText="bothSides"/>
          <wp:docPr id="5"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1"/>
                  <a:stretch>
                    <a:fillRect/>
                  </a:stretch>
                </pic:blipFill>
                <pic:spPr>
                  <a:xfrm>
                    <a:off x="0" y="0"/>
                    <a:ext cx="7376161" cy="917448"/>
                  </a:xfrm>
                  <a:prstGeom prst="rect">
                    <a:avLst/>
                  </a:prstGeom>
                </pic:spPr>
              </pic:pic>
            </a:graphicData>
          </a:graphic>
        </wp:anchor>
      </w:drawing>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36" w:rsidRDefault="00605AF6">
    <w:pPr>
      <w:spacing w:after="0" w:line="259" w:lineRule="auto"/>
      <w:ind w:left="-720" w:right="-478" w:firstLine="0"/>
      <w:jc w:val="right"/>
    </w:pPr>
    <w:r>
      <w:rPr>
        <w:noProof/>
      </w:rPr>
      <w:drawing>
        <wp:anchor distT="0" distB="0" distL="114300" distR="114300" simplePos="0" relativeHeight="251666432" behindDoc="0" locked="0" layoutInCell="1" allowOverlap="0">
          <wp:simplePos x="0" y="0"/>
          <wp:positionH relativeFrom="page">
            <wp:posOffset>0</wp:posOffset>
          </wp:positionH>
          <wp:positionV relativeFrom="page">
            <wp:posOffset>9778999</wp:posOffset>
          </wp:positionV>
          <wp:extent cx="7376161" cy="917448"/>
          <wp:effectExtent l="0" t="0" r="0" b="0"/>
          <wp:wrapSquare wrapText="bothSides"/>
          <wp:docPr id="6"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1"/>
                  <a:stretch>
                    <a:fillRect/>
                  </a:stretch>
                </pic:blipFill>
                <pic:spPr>
                  <a:xfrm>
                    <a:off x="0" y="0"/>
                    <a:ext cx="7376161" cy="917448"/>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1A" w:rsidRDefault="00592D1A">
      <w:pPr>
        <w:spacing w:after="0" w:line="259" w:lineRule="auto"/>
        <w:ind w:left="0" w:right="0" w:firstLine="0"/>
        <w:jc w:val="left"/>
      </w:pPr>
      <w:r>
        <w:separator/>
      </w:r>
    </w:p>
  </w:footnote>
  <w:footnote w:type="continuationSeparator" w:id="0">
    <w:p w:rsidR="00592D1A" w:rsidRDefault="00592D1A">
      <w:pPr>
        <w:spacing w:after="0" w:line="259" w:lineRule="auto"/>
        <w:ind w:left="0" w:right="0" w:firstLine="0"/>
        <w:jc w:val="left"/>
      </w:pPr>
      <w:r>
        <w:continuationSeparator/>
      </w:r>
    </w:p>
  </w:footnote>
  <w:footnote w:id="1">
    <w:p w:rsidR="00E70036" w:rsidRDefault="00605AF6">
      <w:pPr>
        <w:pStyle w:val="footnotedescription"/>
      </w:pPr>
      <w:r>
        <w:rPr>
          <w:rStyle w:val="footnotemark"/>
        </w:rPr>
        <w:footnoteRef/>
      </w:r>
      <w:r>
        <w:t xml:space="preserve"> </w:t>
      </w:r>
      <w:hyperlink r:id="rId1">
        <w:r>
          <w:t>https://www.treedom.net/it</w:t>
        </w:r>
      </w:hyperlink>
      <w:hyperlink r:id="rId2">
        <w:r>
          <w:rPr>
            <w:color w:val="000000"/>
            <w:sz w:val="24"/>
            <w:u w:val="none" w:color="000000"/>
          </w:rPr>
          <w:t xml:space="preserve"> </w:t>
        </w:r>
      </w:hyperlink>
      <w:r>
        <w:rPr>
          <w:color w:val="000000"/>
          <w:sz w:val="24"/>
          <w:u w:val="none" w:color="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36" w:rsidRDefault="00605AF6">
    <w:pPr>
      <w:spacing w:after="0" w:line="259" w:lineRule="auto"/>
      <w:ind w:left="-285" w:right="0" w:firstLine="0"/>
      <w:jc w:val="left"/>
    </w:pPr>
    <w:r>
      <w:rPr>
        <w:noProof/>
      </w:rPr>
      <w:drawing>
        <wp:anchor distT="0" distB="0" distL="114300" distR="114300" simplePos="0" relativeHeight="251658240" behindDoc="0" locked="0" layoutInCell="1" allowOverlap="0">
          <wp:simplePos x="0" y="0"/>
          <wp:positionH relativeFrom="page">
            <wp:posOffset>276860</wp:posOffset>
          </wp:positionH>
          <wp:positionV relativeFrom="page">
            <wp:posOffset>237490</wp:posOffset>
          </wp:positionV>
          <wp:extent cx="1628775" cy="7715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28775" cy="7715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4789170</wp:posOffset>
          </wp:positionH>
          <wp:positionV relativeFrom="page">
            <wp:posOffset>180340</wp:posOffset>
          </wp:positionV>
          <wp:extent cx="1736344" cy="83121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736344" cy="831215"/>
                  </a:xfrm>
                  <a:prstGeom prst="rect">
                    <a:avLst/>
                  </a:prstGeom>
                </pic:spPr>
              </pic:pic>
            </a:graphicData>
          </a:graphic>
        </wp:anchor>
      </w:drawing>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36" w:rsidRDefault="00605AF6">
    <w:pPr>
      <w:spacing w:after="0" w:line="259" w:lineRule="auto"/>
      <w:ind w:left="-285" w:right="0" w:firstLine="0"/>
      <w:jc w:val="left"/>
    </w:pPr>
    <w:r>
      <w:rPr>
        <w:noProof/>
      </w:rPr>
      <w:drawing>
        <wp:anchor distT="0" distB="0" distL="114300" distR="114300" simplePos="0" relativeHeight="251660288" behindDoc="0" locked="0" layoutInCell="1" allowOverlap="0">
          <wp:simplePos x="0" y="0"/>
          <wp:positionH relativeFrom="page">
            <wp:posOffset>276860</wp:posOffset>
          </wp:positionH>
          <wp:positionV relativeFrom="page">
            <wp:posOffset>237490</wp:posOffset>
          </wp:positionV>
          <wp:extent cx="1628775" cy="77152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28775" cy="77152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4789170</wp:posOffset>
          </wp:positionH>
          <wp:positionV relativeFrom="page">
            <wp:posOffset>180340</wp:posOffset>
          </wp:positionV>
          <wp:extent cx="1736344" cy="831215"/>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736344" cy="831215"/>
                  </a:xfrm>
                  <a:prstGeom prst="rect">
                    <a:avLst/>
                  </a:prstGeom>
                </pic:spPr>
              </pic:pic>
            </a:graphicData>
          </a:graphic>
        </wp:anchor>
      </w:drawing>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036" w:rsidRDefault="00605AF6">
    <w:pPr>
      <w:spacing w:after="0" w:line="259" w:lineRule="auto"/>
      <w:ind w:left="-285" w:right="0" w:firstLine="0"/>
      <w:jc w:val="left"/>
    </w:pPr>
    <w:r>
      <w:rPr>
        <w:noProof/>
      </w:rPr>
      <w:drawing>
        <wp:anchor distT="0" distB="0" distL="114300" distR="114300" simplePos="0" relativeHeight="251662336" behindDoc="0" locked="0" layoutInCell="1" allowOverlap="0">
          <wp:simplePos x="0" y="0"/>
          <wp:positionH relativeFrom="page">
            <wp:posOffset>276860</wp:posOffset>
          </wp:positionH>
          <wp:positionV relativeFrom="page">
            <wp:posOffset>237490</wp:posOffset>
          </wp:positionV>
          <wp:extent cx="1628775" cy="771525"/>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28775" cy="77152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4789170</wp:posOffset>
          </wp:positionH>
          <wp:positionV relativeFrom="page">
            <wp:posOffset>180340</wp:posOffset>
          </wp:positionV>
          <wp:extent cx="1736344" cy="831215"/>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736344" cy="831215"/>
                  </a:xfrm>
                  <a:prstGeom prst="rect">
                    <a:avLst/>
                  </a:prstGeom>
                </pic:spPr>
              </pic:pic>
            </a:graphicData>
          </a:graphic>
        </wp:anchor>
      </w:drawing>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8E0"/>
    <w:multiLevelType w:val="hybridMultilevel"/>
    <w:tmpl w:val="C9B0FD76"/>
    <w:lvl w:ilvl="0" w:tplc="628C1C02">
      <w:start w:val="1"/>
      <w:numFmt w:val="bullet"/>
      <w:lvlText w:val="-"/>
      <w:lvlJc w:val="left"/>
      <w:pPr>
        <w:ind w:left="72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1" w:tplc="ED0A2DB4">
      <w:start w:val="1"/>
      <w:numFmt w:val="bullet"/>
      <w:lvlText w:val="o"/>
      <w:lvlJc w:val="left"/>
      <w:pPr>
        <w:ind w:left="144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2" w:tplc="AEE86DBE">
      <w:start w:val="1"/>
      <w:numFmt w:val="bullet"/>
      <w:lvlText w:val="▪"/>
      <w:lvlJc w:val="left"/>
      <w:pPr>
        <w:ind w:left="216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3" w:tplc="A90EF4A2">
      <w:start w:val="1"/>
      <w:numFmt w:val="bullet"/>
      <w:lvlText w:val="•"/>
      <w:lvlJc w:val="left"/>
      <w:pPr>
        <w:ind w:left="288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4" w:tplc="800491D4">
      <w:start w:val="1"/>
      <w:numFmt w:val="bullet"/>
      <w:lvlText w:val="o"/>
      <w:lvlJc w:val="left"/>
      <w:pPr>
        <w:ind w:left="360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5" w:tplc="18386388">
      <w:start w:val="1"/>
      <w:numFmt w:val="bullet"/>
      <w:lvlText w:val="▪"/>
      <w:lvlJc w:val="left"/>
      <w:pPr>
        <w:ind w:left="432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6" w:tplc="F1FA901A">
      <w:start w:val="1"/>
      <w:numFmt w:val="bullet"/>
      <w:lvlText w:val="•"/>
      <w:lvlJc w:val="left"/>
      <w:pPr>
        <w:ind w:left="504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7" w:tplc="D90053B8">
      <w:start w:val="1"/>
      <w:numFmt w:val="bullet"/>
      <w:lvlText w:val="o"/>
      <w:lvlJc w:val="left"/>
      <w:pPr>
        <w:ind w:left="576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8" w:tplc="18FAACE6">
      <w:start w:val="1"/>
      <w:numFmt w:val="bullet"/>
      <w:lvlText w:val="▪"/>
      <w:lvlJc w:val="left"/>
      <w:pPr>
        <w:ind w:left="648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DBF5AA3"/>
    <w:multiLevelType w:val="hybridMultilevel"/>
    <w:tmpl w:val="E8B28F86"/>
    <w:lvl w:ilvl="0" w:tplc="95C2C75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310E66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126E4C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226CE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BECA61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6727C3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710C7C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97AAD6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694A20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EE57711"/>
    <w:multiLevelType w:val="hybridMultilevel"/>
    <w:tmpl w:val="1EE2502E"/>
    <w:lvl w:ilvl="0" w:tplc="4A282FE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D476E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3341DE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708CF2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9E0BF8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4F2BCE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292D7F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BF604D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07477C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B500D33"/>
    <w:multiLevelType w:val="hybridMultilevel"/>
    <w:tmpl w:val="12B03B12"/>
    <w:lvl w:ilvl="0" w:tplc="93B27EEE">
      <w:start w:val="1"/>
      <w:numFmt w:val="bullet"/>
      <w:lvlText w:val="•"/>
      <w:lvlJc w:val="left"/>
      <w:pPr>
        <w:ind w:left="7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1EC06AA">
      <w:start w:val="1"/>
      <w:numFmt w:val="bullet"/>
      <w:lvlText w:val="o"/>
      <w:lvlJc w:val="left"/>
      <w:pPr>
        <w:ind w:left="14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A8E23A4">
      <w:start w:val="1"/>
      <w:numFmt w:val="bullet"/>
      <w:lvlText w:val="▪"/>
      <w:lvlJc w:val="left"/>
      <w:pPr>
        <w:ind w:left="22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C284AD8">
      <w:start w:val="1"/>
      <w:numFmt w:val="bullet"/>
      <w:lvlText w:val="•"/>
      <w:lvlJc w:val="left"/>
      <w:pPr>
        <w:ind w:left="29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FA3D0A">
      <w:start w:val="1"/>
      <w:numFmt w:val="bullet"/>
      <w:lvlText w:val="o"/>
      <w:lvlJc w:val="left"/>
      <w:pPr>
        <w:ind w:left="36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4A613E8">
      <w:start w:val="1"/>
      <w:numFmt w:val="bullet"/>
      <w:lvlText w:val="▪"/>
      <w:lvlJc w:val="left"/>
      <w:pPr>
        <w:ind w:left="43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F56A688">
      <w:start w:val="1"/>
      <w:numFmt w:val="bullet"/>
      <w:lvlText w:val="•"/>
      <w:lvlJc w:val="left"/>
      <w:pPr>
        <w:ind w:left="50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2468EE">
      <w:start w:val="1"/>
      <w:numFmt w:val="bullet"/>
      <w:lvlText w:val="o"/>
      <w:lvlJc w:val="left"/>
      <w:pPr>
        <w:ind w:left="58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210343A">
      <w:start w:val="1"/>
      <w:numFmt w:val="bullet"/>
      <w:lvlText w:val="▪"/>
      <w:lvlJc w:val="left"/>
      <w:pPr>
        <w:ind w:left="65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36"/>
    <w:rsid w:val="001053D8"/>
    <w:rsid w:val="002261BB"/>
    <w:rsid w:val="00592D1A"/>
    <w:rsid w:val="00605AF6"/>
    <w:rsid w:val="00E70036"/>
    <w:rsid w:val="00EA2400"/>
    <w:rsid w:val="00F7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3BD21-8D48-4604-A187-CD7D3D05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9" w:line="247" w:lineRule="auto"/>
      <w:ind w:left="10" w:right="15" w:hanging="10"/>
      <w:jc w:val="both"/>
    </w:pPr>
    <w:rPr>
      <w:rFonts w:ascii="Trebuchet MS" w:eastAsia="Trebuchet MS" w:hAnsi="Trebuchet MS" w:cs="Trebuchet MS"/>
      <w:color w:val="000000"/>
      <w:sz w:val="23"/>
    </w:rPr>
  </w:style>
  <w:style w:type="paragraph" w:styleId="Titolo1">
    <w:name w:val="heading 1"/>
    <w:next w:val="Normale"/>
    <w:link w:val="Titolo1Carattere"/>
    <w:uiPriority w:val="9"/>
    <w:unhideWhenUsed/>
    <w:qFormat/>
    <w:pPr>
      <w:keepNext/>
      <w:keepLines/>
      <w:spacing w:after="93"/>
      <w:ind w:left="10" w:hanging="10"/>
      <w:outlineLvl w:val="0"/>
    </w:pPr>
    <w:rPr>
      <w:rFonts w:ascii="Trebuchet MS" w:eastAsia="Trebuchet MS" w:hAnsi="Trebuchet MS" w:cs="Trebuchet MS"/>
      <w:b/>
      <w:color w:val="C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rebuchet MS" w:eastAsia="Trebuchet MS" w:hAnsi="Trebuchet MS" w:cs="Trebuchet MS"/>
      <w:b/>
      <w:color w:val="C00000"/>
      <w:sz w:val="23"/>
    </w:rPr>
  </w:style>
  <w:style w:type="paragraph" w:customStyle="1" w:styleId="footnotedescription">
    <w:name w:val="footnote description"/>
    <w:next w:val="Normale"/>
    <w:link w:val="footnotedescriptionChar"/>
    <w:hidden/>
    <w:pPr>
      <w:spacing w:after="0"/>
    </w:pPr>
    <w:rPr>
      <w:rFonts w:ascii="Trebuchet MS" w:eastAsia="Trebuchet MS" w:hAnsi="Trebuchet MS" w:cs="Trebuchet MS"/>
      <w:color w:val="0563C1"/>
      <w:u w:val="single" w:color="0563C1"/>
    </w:rPr>
  </w:style>
  <w:style w:type="character" w:customStyle="1" w:styleId="footnotedescriptionChar">
    <w:name w:val="footnote description Char"/>
    <w:link w:val="footnotedescription"/>
    <w:rPr>
      <w:rFonts w:ascii="Trebuchet MS" w:eastAsia="Trebuchet MS" w:hAnsi="Trebuchet MS" w:cs="Trebuchet MS"/>
      <w:color w:val="0563C1"/>
      <w:sz w:val="22"/>
      <w:u w:val="single" w:color="0563C1"/>
    </w:rPr>
  </w:style>
  <w:style w:type="character" w:customStyle="1" w:styleId="footnotemark">
    <w:name w:val="footnote mark"/>
    <w:hidden/>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estivalsvilupposostenibile.it/2020/proponi-evento/" TargetMode="External"/><Relationship Id="rId13" Type="http://schemas.openxmlformats.org/officeDocument/2006/relationships/hyperlink" Target="http://asvis.it/public/asvis/files/Festival_Sviluppo_Sostenibile_2018/GOAL_E_TARGET.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estivalsvilupposostenibile.it/2020/proponi-evento/" TargetMode="External"/><Relationship Id="rId12" Type="http://schemas.openxmlformats.org/officeDocument/2006/relationships/hyperlink" Target="http://asvis.it/public/asvis/files/Festival_Sviluppo_Sostenibile_2018/GOAL_E_TARGE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vis.it/public/asvis/files/Festival_Sviluppo_Sostenibile_2018/GOAL_E_TARGE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estivalsvilupposostenibile.it/2020/proponi-event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festivalsvilupposostenibile.it/2020/proponi-event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treedom.net/it" TargetMode="External"/><Relationship Id="rId1" Type="http://schemas.openxmlformats.org/officeDocument/2006/relationships/hyperlink" Target="https://www.treedom.n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1317</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Alemanno</dc:creator>
  <cp:keywords/>
  <cp:lastModifiedBy>Benedetta Garofalo</cp:lastModifiedBy>
  <cp:revision>5</cp:revision>
  <dcterms:created xsi:type="dcterms:W3CDTF">2020-03-04T11:01:00Z</dcterms:created>
  <dcterms:modified xsi:type="dcterms:W3CDTF">2020-03-04T11:19:00Z</dcterms:modified>
</cp:coreProperties>
</file>